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rPr>
          <w:rFonts w:ascii="Times New Roman" w:hAnsi="Times New Roman" w:cs="Times New Roman"/>
          <w:b/>
          <w:sz w:val="24"/>
          <w:szCs w:val="24"/>
        </w:rPr>
      </w:pPr>
    </w:p>
    <w:p w:rsidR="00690E04" w:rsidRPr="00690E04" w:rsidRDefault="00690E04" w:rsidP="00690E04">
      <w:pPr>
        <w:spacing w:line="480" w:lineRule="auto"/>
        <w:jc w:val="center"/>
        <w:rPr>
          <w:rFonts w:ascii="Times New Roman" w:hAnsi="Times New Roman" w:cs="Times New Roman"/>
          <w:sz w:val="24"/>
          <w:szCs w:val="24"/>
        </w:rPr>
      </w:pPr>
      <w:r w:rsidRPr="00690E04">
        <w:rPr>
          <w:rFonts w:ascii="Times New Roman" w:hAnsi="Times New Roman" w:cs="Times New Roman"/>
          <w:sz w:val="24"/>
          <w:szCs w:val="24"/>
        </w:rPr>
        <w:t>Communication and Risk Management</w:t>
      </w:r>
    </w:p>
    <w:p w:rsidR="00690E04" w:rsidRPr="00690E04" w:rsidRDefault="00690E04" w:rsidP="00690E04">
      <w:pPr>
        <w:spacing w:line="480" w:lineRule="auto"/>
        <w:jc w:val="center"/>
        <w:rPr>
          <w:rFonts w:ascii="Times New Roman" w:hAnsi="Times New Roman" w:cs="Times New Roman"/>
          <w:sz w:val="24"/>
          <w:szCs w:val="24"/>
        </w:rPr>
      </w:pPr>
      <w:r w:rsidRPr="00690E04">
        <w:rPr>
          <w:rFonts w:ascii="Times New Roman" w:hAnsi="Times New Roman" w:cs="Times New Roman"/>
          <w:sz w:val="24"/>
          <w:szCs w:val="24"/>
        </w:rPr>
        <w:t>Name of Student</w:t>
      </w:r>
    </w:p>
    <w:p w:rsidR="00690E04" w:rsidRPr="00690E04" w:rsidRDefault="00690E04" w:rsidP="00690E04">
      <w:pPr>
        <w:spacing w:line="480" w:lineRule="auto"/>
        <w:jc w:val="center"/>
        <w:rPr>
          <w:rFonts w:ascii="Times New Roman" w:hAnsi="Times New Roman" w:cs="Times New Roman"/>
          <w:sz w:val="24"/>
          <w:szCs w:val="24"/>
        </w:rPr>
      </w:pPr>
      <w:r w:rsidRPr="00690E04">
        <w:rPr>
          <w:rFonts w:ascii="Times New Roman" w:hAnsi="Times New Roman" w:cs="Times New Roman"/>
          <w:sz w:val="24"/>
          <w:szCs w:val="24"/>
        </w:rPr>
        <w:t>Name of Institution</w:t>
      </w:r>
    </w:p>
    <w:p w:rsidR="00690E04" w:rsidRPr="00690E04" w:rsidRDefault="00690E04" w:rsidP="00690E04">
      <w:pPr>
        <w:spacing w:line="480" w:lineRule="auto"/>
        <w:jc w:val="center"/>
        <w:rPr>
          <w:rFonts w:ascii="Times New Roman" w:hAnsi="Times New Roman" w:cs="Times New Roman"/>
          <w:b/>
          <w:sz w:val="24"/>
          <w:szCs w:val="24"/>
        </w:rPr>
      </w:pPr>
      <w:r w:rsidRPr="00690E04">
        <w:rPr>
          <w:rFonts w:ascii="Times New Roman" w:hAnsi="Times New Roman" w:cs="Times New Roman"/>
          <w:sz w:val="24"/>
          <w:szCs w:val="24"/>
        </w:rPr>
        <w:t xml:space="preserve">Date </w:t>
      </w:r>
      <w:r w:rsidRPr="00690E04">
        <w:rPr>
          <w:rFonts w:ascii="Times New Roman" w:hAnsi="Times New Roman" w:cs="Times New Roman"/>
          <w:b/>
          <w:sz w:val="24"/>
          <w:szCs w:val="24"/>
        </w:rPr>
        <w:br w:type="page"/>
      </w:r>
    </w:p>
    <w:p w:rsidR="006D29F9" w:rsidRPr="00690E04" w:rsidRDefault="006D29F9" w:rsidP="00690E04">
      <w:pPr>
        <w:spacing w:line="480" w:lineRule="auto"/>
        <w:rPr>
          <w:rFonts w:ascii="Times New Roman" w:hAnsi="Times New Roman" w:cs="Times New Roman"/>
          <w:b/>
          <w:sz w:val="24"/>
          <w:szCs w:val="24"/>
        </w:rPr>
      </w:pPr>
      <w:r w:rsidRPr="00690E04">
        <w:rPr>
          <w:rFonts w:ascii="Times New Roman" w:hAnsi="Times New Roman" w:cs="Times New Roman"/>
          <w:b/>
          <w:sz w:val="24"/>
          <w:szCs w:val="24"/>
        </w:rPr>
        <w:lastRenderedPageBreak/>
        <w:t>Chapter 10 Discussion Question #3</w:t>
      </w:r>
    </w:p>
    <w:p w:rsidR="007F0DB3" w:rsidRPr="00690E04" w:rsidRDefault="00690E04" w:rsidP="00690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E05F39" w:rsidRPr="00690E04">
        <w:rPr>
          <w:rFonts w:ascii="Times New Roman" w:hAnsi="Times New Roman" w:cs="Times New Roman"/>
          <w:sz w:val="24"/>
          <w:szCs w:val="24"/>
        </w:rPr>
        <w:t xml:space="preserve">uccessful communication is comprised of the words chosen, the tone of the voice and the body language. In face to face communication patterns, the words present the message, whereas the tone and body language provide a balance to the information. </w:t>
      </w:r>
      <w:r>
        <w:rPr>
          <w:rFonts w:ascii="Times New Roman" w:hAnsi="Times New Roman" w:cs="Times New Roman"/>
          <w:sz w:val="24"/>
          <w:szCs w:val="24"/>
        </w:rPr>
        <w:t>Any</w:t>
      </w:r>
      <w:r w:rsidR="00E05F39" w:rsidRPr="00690E04">
        <w:rPr>
          <w:rFonts w:ascii="Times New Roman" w:hAnsi="Times New Roman" w:cs="Times New Roman"/>
          <w:sz w:val="24"/>
          <w:szCs w:val="24"/>
        </w:rPr>
        <w:t xml:space="preserve"> attempt to decipher the tone of the speaker requires evaluation of the emphasis placed on specific words, the level and type of emotion adopted, and the volume of the speaker. Take for example the phrase, “I didn’t say he borrowed my car.” </w:t>
      </w:r>
      <w:r w:rsidR="007F0DB3" w:rsidRPr="00690E04">
        <w:rPr>
          <w:rFonts w:ascii="Times New Roman" w:hAnsi="Times New Roman" w:cs="Times New Roman"/>
          <w:sz w:val="24"/>
          <w:szCs w:val="24"/>
        </w:rPr>
        <w:t xml:space="preserve">The sentence is composed of the same words, but the placement of emphasis determines the message to be passed across. Understanding of the phrase is dependent on the denotative and connotative meanings to the listener. The movements and actions by the speaker while passing on the message provide an additional channel to pass on the message. Body language creates a subconscious understanding of the message conveyed, even in scenarios when the words are not comprehended by the listener. </w:t>
      </w:r>
    </w:p>
    <w:p w:rsidR="006D29F9" w:rsidRPr="00690E04" w:rsidRDefault="006D29F9" w:rsidP="00690E04">
      <w:pPr>
        <w:spacing w:line="480" w:lineRule="auto"/>
        <w:rPr>
          <w:rFonts w:ascii="Times New Roman" w:hAnsi="Times New Roman" w:cs="Times New Roman"/>
          <w:b/>
          <w:sz w:val="24"/>
          <w:szCs w:val="24"/>
        </w:rPr>
      </w:pPr>
      <w:r w:rsidRPr="00690E04">
        <w:rPr>
          <w:rFonts w:ascii="Times New Roman" w:hAnsi="Times New Roman" w:cs="Times New Roman"/>
          <w:b/>
          <w:sz w:val="24"/>
          <w:szCs w:val="24"/>
        </w:rPr>
        <w:t>Chapter 10 Exercise #1</w:t>
      </w:r>
    </w:p>
    <w:p w:rsidR="00D67F07" w:rsidRPr="00690E04" w:rsidRDefault="007F0DB3" w:rsidP="00690E04">
      <w:pPr>
        <w:spacing w:line="480" w:lineRule="auto"/>
        <w:ind w:firstLine="720"/>
        <w:rPr>
          <w:rFonts w:ascii="Times New Roman" w:hAnsi="Times New Roman" w:cs="Times New Roman"/>
          <w:sz w:val="24"/>
          <w:szCs w:val="24"/>
        </w:rPr>
      </w:pPr>
      <w:r w:rsidRPr="00690E04">
        <w:rPr>
          <w:rFonts w:ascii="Times New Roman" w:hAnsi="Times New Roman" w:cs="Times New Roman"/>
          <w:sz w:val="24"/>
          <w:szCs w:val="24"/>
        </w:rPr>
        <w:t xml:space="preserve">Examples of body language movements that have implications in what message is conveyed include, fidgeting. Blushing, swallowing or coughing, the pulse rate, eye contact, gestures with arms or hands, the posture of standing or sitting, tilting of the head, arms crossed over the chest, and facial expressions. </w:t>
      </w:r>
      <w:r w:rsidR="00205A44" w:rsidRPr="00690E04">
        <w:rPr>
          <w:rFonts w:ascii="Times New Roman" w:hAnsi="Times New Roman" w:cs="Times New Roman"/>
          <w:sz w:val="24"/>
          <w:szCs w:val="24"/>
        </w:rPr>
        <w:t xml:space="preserve">Direct eye contact is associated with activity in the right hemisphere, which may illustrate practical attention or creative cognition </w:t>
      </w:r>
      <w:sdt>
        <w:sdtPr>
          <w:rPr>
            <w:rFonts w:ascii="Times New Roman" w:hAnsi="Times New Roman" w:cs="Times New Roman"/>
            <w:sz w:val="24"/>
            <w:szCs w:val="24"/>
          </w:rPr>
          <w:id w:val="187166797"/>
          <w:citation/>
        </w:sdtPr>
        <w:sdtContent>
          <w:r w:rsidR="00205A44" w:rsidRPr="00690E04">
            <w:rPr>
              <w:rFonts w:ascii="Times New Roman" w:hAnsi="Times New Roman" w:cs="Times New Roman"/>
              <w:sz w:val="24"/>
              <w:szCs w:val="24"/>
            </w:rPr>
            <w:fldChar w:fldCharType="begin"/>
          </w:r>
          <w:r w:rsidR="00205A44" w:rsidRPr="00690E04">
            <w:rPr>
              <w:rFonts w:ascii="Times New Roman" w:hAnsi="Times New Roman" w:cs="Times New Roman"/>
              <w:sz w:val="24"/>
              <w:szCs w:val="24"/>
            </w:rPr>
            <w:instrText xml:space="preserve"> CITATION Wis12 \l 1033 </w:instrText>
          </w:r>
          <w:r w:rsidR="00205A44" w:rsidRPr="00690E04">
            <w:rPr>
              <w:rFonts w:ascii="Times New Roman" w:hAnsi="Times New Roman" w:cs="Times New Roman"/>
              <w:sz w:val="24"/>
              <w:szCs w:val="24"/>
            </w:rPr>
            <w:fldChar w:fldCharType="separate"/>
          </w:r>
          <w:r w:rsidR="00205A44" w:rsidRPr="00690E04">
            <w:rPr>
              <w:rFonts w:ascii="Times New Roman" w:hAnsi="Times New Roman" w:cs="Times New Roman"/>
              <w:noProof/>
              <w:sz w:val="24"/>
              <w:szCs w:val="24"/>
            </w:rPr>
            <w:t>(Wiseman, Watt, Ten Brinke, Porter, Couper, &amp; Rankin, 2012)</w:t>
          </w:r>
          <w:r w:rsidR="00205A44" w:rsidRPr="00690E04">
            <w:rPr>
              <w:rFonts w:ascii="Times New Roman" w:hAnsi="Times New Roman" w:cs="Times New Roman"/>
              <w:sz w:val="24"/>
              <w:szCs w:val="24"/>
            </w:rPr>
            <w:fldChar w:fldCharType="end"/>
          </w:r>
        </w:sdtContent>
      </w:sdt>
      <w:r w:rsidR="00205A44" w:rsidRPr="00690E04">
        <w:rPr>
          <w:rFonts w:ascii="Times New Roman" w:hAnsi="Times New Roman" w:cs="Times New Roman"/>
          <w:sz w:val="24"/>
          <w:szCs w:val="24"/>
        </w:rPr>
        <w:t xml:space="preserve">. Looking downwards illustrates humility, shame or in other cultures respect, while dashing your gaze from side to side is evasive. </w:t>
      </w:r>
      <w:r w:rsidR="00D67F07" w:rsidRPr="00690E04">
        <w:rPr>
          <w:rFonts w:ascii="Times New Roman" w:hAnsi="Times New Roman" w:cs="Times New Roman"/>
          <w:sz w:val="24"/>
          <w:szCs w:val="24"/>
        </w:rPr>
        <w:t xml:space="preserve">When a person crosses their arms over their chest, it may be for two reasons; they are not interested in the topic </w:t>
      </w:r>
      <w:r w:rsidR="00D67F07" w:rsidRPr="00690E04">
        <w:rPr>
          <w:rFonts w:ascii="Times New Roman" w:hAnsi="Times New Roman" w:cs="Times New Roman"/>
          <w:sz w:val="24"/>
          <w:szCs w:val="24"/>
        </w:rPr>
        <w:lastRenderedPageBreak/>
        <w:t>or argument, or they feel insecure</w:t>
      </w:r>
      <w:r w:rsidR="00205A44" w:rsidRPr="00690E04">
        <w:rPr>
          <w:rFonts w:ascii="Times New Roman" w:hAnsi="Times New Roman" w:cs="Times New Roman"/>
          <w:sz w:val="24"/>
          <w:szCs w:val="24"/>
        </w:rPr>
        <w:t xml:space="preserve"> and vulnerable. Touching of the nose is a gesture associated with evasion and lying</w:t>
      </w:r>
    </w:p>
    <w:p w:rsidR="006D29F9" w:rsidRPr="00690E04" w:rsidRDefault="006D29F9" w:rsidP="00690E04">
      <w:pPr>
        <w:spacing w:line="480" w:lineRule="auto"/>
        <w:rPr>
          <w:rFonts w:ascii="Times New Roman" w:hAnsi="Times New Roman" w:cs="Times New Roman"/>
          <w:b/>
          <w:sz w:val="24"/>
          <w:szCs w:val="24"/>
        </w:rPr>
      </w:pPr>
      <w:r w:rsidRPr="00690E04">
        <w:rPr>
          <w:rFonts w:ascii="Times New Roman" w:hAnsi="Times New Roman" w:cs="Times New Roman"/>
          <w:b/>
          <w:sz w:val="24"/>
          <w:szCs w:val="24"/>
        </w:rPr>
        <w:t>Chapter 11 Discussion Question #2</w:t>
      </w:r>
    </w:p>
    <w:p w:rsidR="006D29F9" w:rsidRPr="00690E04" w:rsidRDefault="00C37146" w:rsidP="00690E04">
      <w:pPr>
        <w:spacing w:line="480" w:lineRule="auto"/>
        <w:ind w:firstLine="720"/>
        <w:rPr>
          <w:rFonts w:ascii="Times New Roman" w:hAnsi="Times New Roman" w:cs="Times New Roman"/>
          <w:sz w:val="24"/>
          <w:szCs w:val="24"/>
        </w:rPr>
      </w:pPr>
      <w:r w:rsidRPr="00690E04">
        <w:rPr>
          <w:rFonts w:ascii="Times New Roman" w:hAnsi="Times New Roman" w:cs="Times New Roman"/>
          <w:sz w:val="24"/>
          <w:szCs w:val="24"/>
        </w:rPr>
        <w:t>Risk management on the other hand defines the processes such as assessing and measuring the level of risk involved, and its management through strategical interventions</w:t>
      </w:r>
      <w:r w:rsidR="001B4C4E" w:rsidRPr="00690E04">
        <w:rPr>
          <w:rFonts w:ascii="Times New Roman" w:hAnsi="Times New Roman" w:cs="Times New Roman"/>
          <w:sz w:val="24"/>
          <w:szCs w:val="24"/>
        </w:rPr>
        <w:t xml:space="preserve"> </w:t>
      </w:r>
      <w:sdt>
        <w:sdtPr>
          <w:rPr>
            <w:rFonts w:ascii="Times New Roman" w:hAnsi="Times New Roman" w:cs="Times New Roman"/>
            <w:sz w:val="24"/>
            <w:szCs w:val="24"/>
          </w:rPr>
          <w:id w:val="187166802"/>
          <w:citation/>
        </w:sdtPr>
        <w:sdtContent>
          <w:r w:rsidR="001B4C4E" w:rsidRPr="00690E04">
            <w:rPr>
              <w:rFonts w:ascii="Times New Roman" w:hAnsi="Times New Roman" w:cs="Times New Roman"/>
              <w:sz w:val="24"/>
              <w:szCs w:val="24"/>
            </w:rPr>
            <w:fldChar w:fldCharType="begin"/>
          </w:r>
          <w:r w:rsidR="001B4C4E" w:rsidRPr="00690E04">
            <w:rPr>
              <w:rFonts w:ascii="Times New Roman" w:hAnsi="Times New Roman" w:cs="Times New Roman"/>
              <w:sz w:val="24"/>
              <w:szCs w:val="24"/>
            </w:rPr>
            <w:instrText xml:space="preserve"> CITATION Rya06 \l 1033  </w:instrText>
          </w:r>
          <w:r w:rsidR="001B4C4E" w:rsidRPr="00690E04">
            <w:rPr>
              <w:rFonts w:ascii="Times New Roman" w:hAnsi="Times New Roman" w:cs="Times New Roman"/>
              <w:sz w:val="24"/>
              <w:szCs w:val="24"/>
            </w:rPr>
            <w:fldChar w:fldCharType="separate"/>
          </w:r>
          <w:r w:rsidR="001B4C4E" w:rsidRPr="00690E04">
            <w:rPr>
              <w:rFonts w:ascii="Times New Roman" w:hAnsi="Times New Roman" w:cs="Times New Roman"/>
              <w:noProof/>
              <w:sz w:val="24"/>
              <w:szCs w:val="24"/>
            </w:rPr>
            <w:t>(Ryan, Dillard, &amp; Pfost, 2006)</w:t>
          </w:r>
          <w:r w:rsidR="001B4C4E" w:rsidRPr="00690E04">
            <w:rPr>
              <w:rFonts w:ascii="Times New Roman" w:hAnsi="Times New Roman" w:cs="Times New Roman"/>
              <w:sz w:val="24"/>
              <w:szCs w:val="24"/>
            </w:rPr>
            <w:fldChar w:fldCharType="end"/>
          </w:r>
        </w:sdtContent>
      </w:sdt>
      <w:r w:rsidRPr="00690E04">
        <w:rPr>
          <w:rFonts w:ascii="Times New Roman" w:hAnsi="Times New Roman" w:cs="Times New Roman"/>
          <w:sz w:val="24"/>
          <w:szCs w:val="24"/>
        </w:rPr>
        <w:t xml:space="preserve">. Credible question to evaluate during risk management plan include the tools and techniques to be used, measure to put in place to avoid the risk portrayed, any association between the hazards and the risks, means to reduce the negative effects associated with the risk while maximizing on the positive, necessity of transferring assets to another party, and proposals of accepting some of the consequences associated with the risk. </w:t>
      </w:r>
    </w:p>
    <w:p w:rsidR="006D29F9" w:rsidRPr="00690E04" w:rsidRDefault="006D29F9" w:rsidP="00690E04">
      <w:pPr>
        <w:spacing w:line="480" w:lineRule="auto"/>
        <w:rPr>
          <w:rFonts w:ascii="Times New Roman" w:hAnsi="Times New Roman" w:cs="Times New Roman"/>
          <w:b/>
          <w:sz w:val="24"/>
          <w:szCs w:val="24"/>
        </w:rPr>
      </w:pPr>
      <w:r w:rsidRPr="00690E04">
        <w:rPr>
          <w:rFonts w:ascii="Times New Roman" w:hAnsi="Times New Roman" w:cs="Times New Roman"/>
          <w:b/>
          <w:sz w:val="24"/>
          <w:szCs w:val="24"/>
        </w:rPr>
        <w:t>Chapter 11 Exercise #1</w:t>
      </w:r>
    </w:p>
    <w:p w:rsidR="00C37146" w:rsidRPr="00690E04" w:rsidRDefault="00587F39" w:rsidP="00690E04">
      <w:pPr>
        <w:spacing w:line="480" w:lineRule="auto"/>
        <w:ind w:firstLine="720"/>
        <w:rPr>
          <w:rFonts w:ascii="Times New Roman" w:hAnsi="Times New Roman" w:cs="Times New Roman"/>
          <w:sz w:val="24"/>
          <w:szCs w:val="24"/>
        </w:rPr>
      </w:pPr>
      <w:r w:rsidRPr="00690E04">
        <w:rPr>
          <w:rFonts w:ascii="Times New Roman" w:hAnsi="Times New Roman" w:cs="Times New Roman"/>
          <w:sz w:val="24"/>
          <w:szCs w:val="24"/>
        </w:rPr>
        <w:t xml:space="preserve">Two positive risks are </w:t>
      </w:r>
      <w:r w:rsidR="00DF4B3F" w:rsidRPr="00690E04">
        <w:rPr>
          <w:rFonts w:ascii="Times New Roman" w:hAnsi="Times New Roman" w:cs="Times New Roman"/>
          <w:sz w:val="24"/>
          <w:szCs w:val="24"/>
        </w:rPr>
        <w:t>the probability of teaching users how to use the program and the information would be accurate and up-to-date. Teaching users is a positive risk since it enables them to have power over their own information. Strategies to ensure that the users learn the program will involve conferences and a role out phase. The conferences will provide a forum for learning the computer process involved and motivate those who are weak with computers. The accuracy and updated information is assured since the users have control over their information. To motivate the users to maintain their information, notification should be provided constantly to the users which will also entail the importance of keeping their information current.</w:t>
      </w:r>
    </w:p>
    <w:p w:rsidR="00690E04" w:rsidRPr="00690E04" w:rsidRDefault="00DF4B3F" w:rsidP="00690E04">
      <w:pPr>
        <w:spacing w:line="480" w:lineRule="auto"/>
        <w:ind w:firstLine="720"/>
        <w:rPr>
          <w:rFonts w:ascii="Times New Roman" w:hAnsi="Times New Roman" w:cs="Times New Roman"/>
          <w:noProof/>
          <w:sz w:val="24"/>
          <w:szCs w:val="24"/>
        </w:rPr>
      </w:pPr>
      <w:r w:rsidRPr="00690E04">
        <w:rPr>
          <w:rFonts w:ascii="Times New Roman" w:hAnsi="Times New Roman" w:cs="Times New Roman"/>
          <w:sz w:val="24"/>
          <w:szCs w:val="24"/>
        </w:rPr>
        <w:t xml:space="preserve">A negative risk would be some users will not provide their real information. The organization will authorize authentication criteria that assess the transparency and truth value of the information shared.  Another probable risk is the loss of client since not all are keen to </w:t>
      </w:r>
      <w:r w:rsidRPr="00690E04">
        <w:rPr>
          <w:rFonts w:ascii="Times New Roman" w:hAnsi="Times New Roman" w:cs="Times New Roman"/>
          <w:sz w:val="24"/>
          <w:szCs w:val="24"/>
        </w:rPr>
        <w:lastRenderedPageBreak/>
        <w:t xml:space="preserve">manage their information. To tackle this risk, the organization will need marketing regimes and conferences to highlight the benefits associated with managing your own information and </w:t>
      </w:r>
      <w:r w:rsidR="001B4C4E" w:rsidRPr="00690E04">
        <w:rPr>
          <w:rFonts w:ascii="Times New Roman" w:hAnsi="Times New Roman" w:cs="Times New Roman"/>
          <w:sz w:val="24"/>
          <w:szCs w:val="24"/>
        </w:rPr>
        <w:t>the power associated with such benefits. The final negative risk is the threat of theft from people posing as others. Tackling this threat will require authentication protocols that assure the candidate is who they claim to be prior to accessing the information.</w:t>
      </w:r>
    </w:p>
    <w:p w:rsidR="00690E04" w:rsidRPr="00690E04" w:rsidRDefault="00690E04" w:rsidP="00690E04">
      <w:pPr>
        <w:spacing w:line="480" w:lineRule="auto"/>
        <w:rPr>
          <w:rFonts w:ascii="Times New Roman" w:hAnsi="Times New Roman" w:cs="Times New Roman"/>
          <w:noProof/>
          <w:sz w:val="24"/>
          <w:szCs w:val="24"/>
        </w:rPr>
      </w:pPr>
      <w:r w:rsidRPr="00690E04">
        <w:rPr>
          <w:rFonts w:ascii="Times New Roman" w:hAnsi="Times New Roman" w:cs="Times New Roman"/>
          <w:noProof/>
          <w:sz w:val="24"/>
          <w:szCs w:val="24"/>
        </w:rPr>
        <w:br w:type="page"/>
      </w:r>
    </w:p>
    <w:sdt>
      <w:sdtPr>
        <w:rPr>
          <w:rFonts w:ascii="Times New Roman" w:hAnsi="Times New Roman" w:cs="Times New Roman"/>
          <w:color w:val="auto"/>
          <w:sz w:val="24"/>
          <w:szCs w:val="24"/>
        </w:rPr>
        <w:id w:val="187166804"/>
        <w:docPartObj>
          <w:docPartGallery w:val="Bibliographies"/>
          <w:docPartUnique/>
        </w:docPartObj>
      </w:sdtPr>
      <w:sdtEndPr>
        <w:rPr>
          <w:rFonts w:eastAsiaTheme="minorEastAsia"/>
          <w:b w:val="0"/>
          <w:bCs w:val="0"/>
          <w:lang w:bidi="ar-SA"/>
        </w:rPr>
      </w:sdtEndPr>
      <w:sdtContent>
        <w:p w:rsidR="00690E04" w:rsidRPr="00690E04" w:rsidRDefault="00690E04" w:rsidP="00690E04">
          <w:pPr>
            <w:pStyle w:val="Heading1"/>
            <w:spacing w:line="480" w:lineRule="auto"/>
            <w:jc w:val="center"/>
            <w:rPr>
              <w:rFonts w:ascii="Times New Roman" w:hAnsi="Times New Roman" w:cs="Times New Roman"/>
              <w:color w:val="auto"/>
              <w:sz w:val="24"/>
              <w:szCs w:val="24"/>
            </w:rPr>
          </w:pPr>
          <w:r w:rsidRPr="00690E0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690E04" w:rsidRPr="00690E04" w:rsidRDefault="00690E04" w:rsidP="00690E04">
              <w:pPr>
                <w:pStyle w:val="Bibliography"/>
                <w:spacing w:line="480" w:lineRule="auto"/>
                <w:ind w:left="720" w:hanging="720"/>
                <w:rPr>
                  <w:rFonts w:ascii="Times New Roman" w:hAnsi="Times New Roman" w:cs="Times New Roman"/>
                  <w:noProof/>
                  <w:sz w:val="24"/>
                  <w:szCs w:val="24"/>
                </w:rPr>
              </w:pPr>
              <w:r w:rsidRPr="00690E04">
                <w:rPr>
                  <w:rFonts w:ascii="Times New Roman" w:hAnsi="Times New Roman" w:cs="Times New Roman"/>
                  <w:sz w:val="24"/>
                  <w:szCs w:val="24"/>
                </w:rPr>
                <w:fldChar w:fldCharType="begin"/>
              </w:r>
              <w:r w:rsidRPr="00690E04">
                <w:rPr>
                  <w:rFonts w:ascii="Times New Roman" w:hAnsi="Times New Roman" w:cs="Times New Roman"/>
                  <w:sz w:val="24"/>
                  <w:szCs w:val="24"/>
                </w:rPr>
                <w:instrText xml:space="preserve"> BIBLIOGRAPHY </w:instrText>
              </w:r>
              <w:r w:rsidRPr="00690E04">
                <w:rPr>
                  <w:rFonts w:ascii="Times New Roman" w:hAnsi="Times New Roman" w:cs="Times New Roman"/>
                  <w:sz w:val="24"/>
                  <w:szCs w:val="24"/>
                </w:rPr>
                <w:fldChar w:fldCharType="separate"/>
              </w:r>
              <w:r w:rsidRPr="00690E04">
                <w:rPr>
                  <w:rFonts w:ascii="Times New Roman" w:hAnsi="Times New Roman" w:cs="Times New Roman"/>
                  <w:noProof/>
                  <w:sz w:val="24"/>
                  <w:szCs w:val="24"/>
                </w:rPr>
                <w:t xml:space="preserve">Ryan, S., Dillard, K., &amp; Pfost, J. (2006). </w:t>
              </w:r>
              <w:r w:rsidRPr="00690E04">
                <w:rPr>
                  <w:rFonts w:ascii="Times New Roman" w:hAnsi="Times New Roman" w:cs="Times New Roman"/>
                  <w:i/>
                  <w:iCs/>
                  <w:noProof/>
                  <w:sz w:val="24"/>
                  <w:szCs w:val="24"/>
                </w:rPr>
                <w:t>Microsoft Solutions for Security and Compliance: The Security Risk Management Guide.</w:t>
              </w:r>
              <w:r w:rsidRPr="00690E04">
                <w:rPr>
                  <w:rFonts w:ascii="Times New Roman" w:hAnsi="Times New Roman" w:cs="Times New Roman"/>
                  <w:noProof/>
                  <w:sz w:val="24"/>
                  <w:szCs w:val="24"/>
                </w:rPr>
                <w:t xml:space="preserve"> San Fransisco, Carlifornia: Creative Commons. (Class Textbook)</w:t>
              </w:r>
            </w:p>
            <w:p w:rsidR="00690E04" w:rsidRPr="00690E04" w:rsidRDefault="00690E04" w:rsidP="00690E04">
              <w:pPr>
                <w:pStyle w:val="Bibliography"/>
                <w:spacing w:line="480" w:lineRule="auto"/>
                <w:ind w:left="720" w:hanging="720"/>
                <w:rPr>
                  <w:rFonts w:ascii="Times New Roman" w:hAnsi="Times New Roman" w:cs="Times New Roman"/>
                  <w:noProof/>
                  <w:sz w:val="24"/>
                  <w:szCs w:val="24"/>
                </w:rPr>
              </w:pPr>
              <w:r w:rsidRPr="00690E04">
                <w:rPr>
                  <w:rFonts w:ascii="Times New Roman" w:hAnsi="Times New Roman" w:cs="Times New Roman"/>
                  <w:noProof/>
                  <w:sz w:val="24"/>
                  <w:szCs w:val="24"/>
                </w:rPr>
                <w:t>Scheider, S. (2016). The Effects of Surrounding Posiive and Negative Experiences on Risk Taking. (HCC Online Databases)</w:t>
              </w:r>
            </w:p>
            <w:p w:rsidR="00690E04" w:rsidRPr="00690E04" w:rsidRDefault="00690E04" w:rsidP="00690E04">
              <w:pPr>
                <w:pStyle w:val="Bibliography"/>
                <w:spacing w:line="480" w:lineRule="auto"/>
                <w:ind w:left="720" w:hanging="720"/>
                <w:rPr>
                  <w:rFonts w:ascii="Times New Roman" w:hAnsi="Times New Roman" w:cs="Times New Roman"/>
                  <w:noProof/>
                  <w:sz w:val="24"/>
                  <w:szCs w:val="24"/>
                </w:rPr>
              </w:pPr>
              <w:r w:rsidRPr="00690E04">
                <w:rPr>
                  <w:rFonts w:ascii="Times New Roman" w:hAnsi="Times New Roman" w:cs="Times New Roman"/>
                  <w:noProof/>
                  <w:sz w:val="24"/>
                  <w:szCs w:val="24"/>
                </w:rPr>
                <w:t xml:space="preserve">Wiseman, R., Watt, C., Ten Brinke, L., Porter, S., Couper, S. L., &amp; Rankin, C. (2012). The eyes don’t have it: lie detection and neuro-linguistic programming. </w:t>
              </w:r>
              <w:r w:rsidRPr="00690E04">
                <w:rPr>
                  <w:rFonts w:ascii="Times New Roman" w:hAnsi="Times New Roman" w:cs="Times New Roman"/>
                  <w:i/>
                  <w:iCs/>
                  <w:noProof/>
                  <w:sz w:val="24"/>
                  <w:szCs w:val="24"/>
                </w:rPr>
                <w:t>PLoS one</w:t>
              </w:r>
              <w:r w:rsidRPr="00690E04">
                <w:rPr>
                  <w:rFonts w:ascii="Times New Roman" w:hAnsi="Times New Roman" w:cs="Times New Roman"/>
                  <w:noProof/>
                  <w:sz w:val="24"/>
                  <w:szCs w:val="24"/>
                </w:rPr>
                <w:t xml:space="preserve"> </w:t>
              </w:r>
              <w:r w:rsidRPr="00690E04">
                <w:rPr>
                  <w:rFonts w:ascii="Times New Roman" w:hAnsi="Times New Roman" w:cs="Times New Roman"/>
                  <w:i/>
                  <w:iCs/>
                  <w:noProof/>
                  <w:sz w:val="24"/>
                  <w:szCs w:val="24"/>
                </w:rPr>
                <w:t>, 7</w:t>
              </w:r>
              <w:r w:rsidRPr="00690E04">
                <w:rPr>
                  <w:rFonts w:ascii="Times New Roman" w:hAnsi="Times New Roman" w:cs="Times New Roman"/>
                  <w:noProof/>
                  <w:sz w:val="24"/>
                  <w:szCs w:val="24"/>
                </w:rPr>
                <w:t xml:space="preserve"> (7), e40259. (Google Scholar)</w:t>
              </w:r>
            </w:p>
            <w:p w:rsidR="00690E04" w:rsidRPr="00690E04" w:rsidRDefault="00690E04" w:rsidP="00690E04">
              <w:pPr>
                <w:spacing w:line="480" w:lineRule="auto"/>
                <w:ind w:left="720" w:hanging="720"/>
                <w:rPr>
                  <w:rFonts w:ascii="Times New Roman" w:hAnsi="Times New Roman" w:cs="Times New Roman"/>
                  <w:sz w:val="24"/>
                  <w:szCs w:val="24"/>
                </w:rPr>
              </w:pPr>
              <w:r w:rsidRPr="00690E04">
                <w:rPr>
                  <w:rFonts w:ascii="Times New Roman" w:hAnsi="Times New Roman" w:cs="Times New Roman"/>
                  <w:sz w:val="24"/>
                  <w:szCs w:val="24"/>
                </w:rPr>
                <w:fldChar w:fldCharType="end"/>
              </w:r>
            </w:p>
          </w:sdtContent>
        </w:sdt>
      </w:sdtContent>
    </w:sdt>
    <w:p w:rsidR="00DF4B3F" w:rsidRPr="00690E04" w:rsidRDefault="00DF4B3F" w:rsidP="00690E04">
      <w:pPr>
        <w:spacing w:line="480" w:lineRule="auto"/>
        <w:ind w:firstLine="720"/>
        <w:rPr>
          <w:rFonts w:ascii="Times New Roman" w:hAnsi="Times New Roman" w:cs="Times New Roman"/>
          <w:sz w:val="24"/>
          <w:szCs w:val="24"/>
        </w:rPr>
      </w:pPr>
    </w:p>
    <w:sectPr w:rsidR="00DF4B3F" w:rsidRPr="00690E04" w:rsidSect="00690E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E08" w:rsidRDefault="00B41E08" w:rsidP="00690E04">
      <w:pPr>
        <w:spacing w:after="0" w:line="240" w:lineRule="auto"/>
      </w:pPr>
      <w:r>
        <w:separator/>
      </w:r>
    </w:p>
  </w:endnote>
  <w:endnote w:type="continuationSeparator" w:id="1">
    <w:p w:rsidR="00B41E08" w:rsidRDefault="00B41E08" w:rsidP="00690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E08" w:rsidRDefault="00B41E08" w:rsidP="00690E04">
      <w:pPr>
        <w:spacing w:after="0" w:line="240" w:lineRule="auto"/>
      </w:pPr>
      <w:r>
        <w:separator/>
      </w:r>
    </w:p>
  </w:footnote>
  <w:footnote w:type="continuationSeparator" w:id="1">
    <w:p w:rsidR="00B41E08" w:rsidRDefault="00B41E08" w:rsidP="00690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04" w:rsidRPr="00690E04" w:rsidRDefault="00690E04">
    <w:pPr>
      <w:pStyle w:val="Header"/>
      <w:jc w:val="right"/>
      <w:rPr>
        <w:rFonts w:ascii="Times New Roman" w:hAnsi="Times New Roman" w:cs="Times New Roman"/>
        <w:sz w:val="24"/>
      </w:rPr>
    </w:pPr>
    <w:r w:rsidRPr="00690E04">
      <w:rPr>
        <w:rFonts w:ascii="Times New Roman" w:hAnsi="Times New Roman" w:cs="Times New Roman"/>
        <w:sz w:val="24"/>
      </w:rPr>
      <w:t xml:space="preserve">COMMUNICATION AND RISK MANAGEMENT </w:t>
    </w:r>
    <w:r w:rsidRPr="00690E04">
      <w:rPr>
        <w:rFonts w:ascii="Times New Roman" w:hAnsi="Times New Roman" w:cs="Times New Roman"/>
        <w:sz w:val="24"/>
      </w:rPr>
      <w:tab/>
    </w:r>
    <w:sdt>
      <w:sdtPr>
        <w:rPr>
          <w:rFonts w:ascii="Times New Roman" w:hAnsi="Times New Roman" w:cs="Times New Roman"/>
          <w:sz w:val="24"/>
        </w:rPr>
        <w:id w:val="187166811"/>
        <w:docPartObj>
          <w:docPartGallery w:val="Page Numbers (Top of Page)"/>
          <w:docPartUnique/>
        </w:docPartObj>
      </w:sdtPr>
      <w:sdtContent>
        <w:r w:rsidRPr="00690E04">
          <w:rPr>
            <w:rFonts w:ascii="Times New Roman" w:hAnsi="Times New Roman" w:cs="Times New Roman"/>
            <w:sz w:val="24"/>
          </w:rPr>
          <w:fldChar w:fldCharType="begin"/>
        </w:r>
        <w:r w:rsidRPr="00690E04">
          <w:rPr>
            <w:rFonts w:ascii="Times New Roman" w:hAnsi="Times New Roman" w:cs="Times New Roman"/>
            <w:sz w:val="24"/>
          </w:rPr>
          <w:instrText xml:space="preserve"> PAGE   \* MERGEFORMAT </w:instrText>
        </w:r>
        <w:r w:rsidRPr="00690E04">
          <w:rPr>
            <w:rFonts w:ascii="Times New Roman" w:hAnsi="Times New Roman" w:cs="Times New Roman"/>
            <w:sz w:val="24"/>
          </w:rPr>
          <w:fldChar w:fldCharType="separate"/>
        </w:r>
        <w:r>
          <w:rPr>
            <w:rFonts w:ascii="Times New Roman" w:hAnsi="Times New Roman" w:cs="Times New Roman"/>
            <w:noProof/>
            <w:sz w:val="24"/>
          </w:rPr>
          <w:t>3</w:t>
        </w:r>
        <w:r w:rsidRPr="00690E04">
          <w:rPr>
            <w:rFonts w:ascii="Times New Roman" w:hAnsi="Times New Roman" w:cs="Times New Roman"/>
            <w:sz w:val="24"/>
          </w:rPr>
          <w:fldChar w:fldCharType="end"/>
        </w:r>
      </w:sdtContent>
    </w:sdt>
  </w:p>
  <w:p w:rsidR="00690E04" w:rsidRPr="00690E04" w:rsidRDefault="00690E0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04" w:rsidRPr="00690E04" w:rsidRDefault="00690E04">
    <w:pPr>
      <w:pStyle w:val="Header"/>
      <w:jc w:val="right"/>
      <w:rPr>
        <w:rFonts w:ascii="Times New Roman" w:hAnsi="Times New Roman" w:cs="Times New Roman"/>
        <w:sz w:val="24"/>
      </w:rPr>
    </w:pPr>
    <w:r w:rsidRPr="00690E04">
      <w:rPr>
        <w:rFonts w:ascii="Times New Roman" w:hAnsi="Times New Roman" w:cs="Times New Roman"/>
        <w:sz w:val="24"/>
      </w:rPr>
      <w:t xml:space="preserve">Running Head: COMMUNICATION AND RISK MANAGEMENT </w:t>
    </w:r>
    <w:r w:rsidRPr="00690E04">
      <w:rPr>
        <w:rFonts w:ascii="Times New Roman" w:hAnsi="Times New Roman" w:cs="Times New Roman"/>
        <w:sz w:val="24"/>
      </w:rPr>
      <w:tab/>
    </w:r>
    <w:sdt>
      <w:sdtPr>
        <w:rPr>
          <w:rFonts w:ascii="Times New Roman" w:hAnsi="Times New Roman" w:cs="Times New Roman"/>
          <w:sz w:val="24"/>
        </w:rPr>
        <w:id w:val="187166861"/>
        <w:docPartObj>
          <w:docPartGallery w:val="Page Numbers (Top of Page)"/>
          <w:docPartUnique/>
        </w:docPartObj>
      </w:sdtPr>
      <w:sdtContent>
        <w:r w:rsidRPr="00690E04">
          <w:rPr>
            <w:rFonts w:ascii="Times New Roman" w:hAnsi="Times New Roman" w:cs="Times New Roman"/>
            <w:sz w:val="24"/>
          </w:rPr>
          <w:fldChar w:fldCharType="begin"/>
        </w:r>
        <w:r w:rsidRPr="00690E04">
          <w:rPr>
            <w:rFonts w:ascii="Times New Roman" w:hAnsi="Times New Roman" w:cs="Times New Roman"/>
            <w:sz w:val="24"/>
          </w:rPr>
          <w:instrText xml:space="preserve"> PAGE   \* MERGEFORMAT </w:instrText>
        </w:r>
        <w:r w:rsidRPr="00690E04">
          <w:rPr>
            <w:rFonts w:ascii="Times New Roman" w:hAnsi="Times New Roman" w:cs="Times New Roman"/>
            <w:sz w:val="24"/>
          </w:rPr>
          <w:fldChar w:fldCharType="separate"/>
        </w:r>
        <w:r>
          <w:rPr>
            <w:rFonts w:ascii="Times New Roman" w:hAnsi="Times New Roman" w:cs="Times New Roman"/>
            <w:noProof/>
            <w:sz w:val="24"/>
          </w:rPr>
          <w:t>1</w:t>
        </w:r>
        <w:r w:rsidRPr="00690E04">
          <w:rPr>
            <w:rFonts w:ascii="Times New Roman" w:hAnsi="Times New Roman" w:cs="Times New Roman"/>
            <w:sz w:val="24"/>
          </w:rPr>
          <w:fldChar w:fldCharType="end"/>
        </w:r>
      </w:sdtContent>
    </w:sdt>
  </w:p>
  <w:p w:rsidR="00690E04" w:rsidRPr="00690E04" w:rsidRDefault="00690E0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D29F9"/>
    <w:rsid w:val="001B4C4E"/>
    <w:rsid w:val="00205A44"/>
    <w:rsid w:val="005608A8"/>
    <w:rsid w:val="00587F39"/>
    <w:rsid w:val="00690E04"/>
    <w:rsid w:val="006D29F9"/>
    <w:rsid w:val="007F0DB3"/>
    <w:rsid w:val="00920605"/>
    <w:rsid w:val="00B41E08"/>
    <w:rsid w:val="00B83889"/>
    <w:rsid w:val="00C37146"/>
    <w:rsid w:val="00D67F07"/>
    <w:rsid w:val="00DF4B3F"/>
    <w:rsid w:val="00E05F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0E0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A44"/>
    <w:rPr>
      <w:rFonts w:ascii="Tahoma" w:hAnsi="Tahoma" w:cs="Tahoma"/>
      <w:sz w:val="16"/>
      <w:szCs w:val="16"/>
    </w:rPr>
  </w:style>
  <w:style w:type="character" w:customStyle="1" w:styleId="Heading1Char">
    <w:name w:val="Heading 1 Char"/>
    <w:basedOn w:val="DefaultParagraphFont"/>
    <w:link w:val="Heading1"/>
    <w:uiPriority w:val="9"/>
    <w:rsid w:val="00690E0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90E04"/>
  </w:style>
  <w:style w:type="paragraph" w:styleId="Header">
    <w:name w:val="header"/>
    <w:basedOn w:val="Normal"/>
    <w:link w:val="HeaderChar"/>
    <w:uiPriority w:val="99"/>
    <w:unhideWhenUsed/>
    <w:rsid w:val="00690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E04"/>
  </w:style>
  <w:style w:type="paragraph" w:styleId="Footer">
    <w:name w:val="footer"/>
    <w:basedOn w:val="Normal"/>
    <w:link w:val="FooterChar"/>
    <w:uiPriority w:val="99"/>
    <w:semiHidden/>
    <w:unhideWhenUsed/>
    <w:rsid w:val="00690E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0E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Wis12</b:Tag>
    <b:SourceType>JournalArticle</b:SourceType>
    <b:Guid>{97CFD626-87E2-4C79-929B-6A391AD9B2E6}</b:Guid>
    <b:LCID>0</b:LCID>
    <b:Author>
      <b:Author>
        <b:NameList>
          <b:Person>
            <b:Last>Wiseman</b:Last>
            <b:First>Richard</b:First>
          </b:Person>
          <b:Person>
            <b:Last>Watt</b:Last>
            <b:First>Caroline</b:First>
          </b:Person>
          <b:Person>
            <b:Last>Ten Brinke</b:Last>
            <b:First>Leanne</b:First>
          </b:Person>
          <b:Person>
            <b:Last>Porter</b:Last>
            <b:First>Stephen</b:First>
          </b:Person>
          <b:Person>
            <b:Last>Couper</b:Last>
            <b:First>Sara</b:First>
            <b:Middle>Louise</b:Middle>
          </b:Person>
          <b:Person>
            <b:Last>Rankin</b:Last>
            <b:First>Calum</b:First>
          </b:Person>
        </b:NameList>
      </b:Author>
    </b:Author>
    <b:Title>The eyes don’t have it: lie detection and neuro-linguistic programming</b:Title>
    <b:JournalName>PLoS one</b:JournalName>
    <b:Year>2012</b:Year>
    <b:Pages>e40259</b:Pages>
    <b:Volume>7</b:Volume>
    <b:Issue>7</b:Issue>
    <b:RefOrder>1</b:RefOrder>
  </b:Source>
  <b:Source>
    <b:Tag>Rya06</b:Tag>
    <b:SourceType>Book</b:SourceType>
    <b:Guid>{DA2B7F57-D334-4F92-A9C2-317245473E1A}</b:Guid>
    <b:LCID>0</b:LCID>
    <b:Author>
      <b:Author>
        <b:NameList>
          <b:Person>
            <b:Last>Ryan</b:Last>
            <b:First>Stephen</b:First>
          </b:Person>
          <b:Person>
            <b:Last>Dillard</b:Last>
            <b:First>Kurt</b:First>
          </b:Person>
          <b:Person>
            <b:Last>Pfost</b:Last>
            <b:First>Jared</b:First>
          </b:Person>
        </b:NameList>
      </b:Author>
    </b:Author>
    <b:Title>Microsoft Solutions for Security and Compliance: The Security Risk Management Guide</b:Title>
    <b:Year>2006</b:Year>
    <b:Publisher>Creative Commons</b:Publisher>
    <b:City>San Fransisco, Carlifornia</b:City>
    <b:RefOrder>2</b:RefOrder>
  </b:Source>
  <b:Source>
    <b:Tag>Sch16</b:Tag>
    <b:SourceType>JournalArticle</b:SourceType>
    <b:Guid>{0FC7F03F-785C-4151-8850-818E008BC8BF}</b:Guid>
    <b:LCID>0</b:LCID>
    <b:Author>
      <b:Author>
        <b:NameList>
          <b:Person>
            <b:Last>Scheider</b:Last>
            <b:First>Sandra</b:First>
          </b:Person>
        </b:NameList>
      </b:Author>
    </b:Author>
    <b:Title>The Effects of Surrounding Posiive and Negative Experiences on Risk Taking</b:Title>
    <b:Year>2016</b:Year>
    <b:RefOrder>3</b:RefOrder>
  </b:Source>
</b:Sources>
</file>

<file path=customXml/itemProps1.xml><?xml version="1.0" encoding="utf-8"?>
<ds:datastoreItem xmlns:ds="http://schemas.openxmlformats.org/officeDocument/2006/customXml" ds:itemID="{422D96D1-7A8C-4571-A467-1FD85DE4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5</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2019-07-02T07:03:00Z</dcterms:created>
  <dcterms:modified xsi:type="dcterms:W3CDTF">2019-07-02T12:11:00Z</dcterms:modified>
</cp:coreProperties>
</file>